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-Gitter"/>
        <w:tblpPr w:leftFromText="141" w:rightFromText="141" w:vertAnchor="text" w:horzAnchor="margin" w:tblpY="285"/>
        <w:tblOverlap w:val="never"/>
        <w:tblW w:w="9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0"/>
        <w:gridCol w:w="1440"/>
        <w:gridCol w:w="1440"/>
        <w:gridCol w:w="270"/>
        <w:gridCol w:w="810"/>
        <w:gridCol w:w="939"/>
        <w:gridCol w:w="591"/>
      </w:tblGrid>
      <w:tr w:rsidR="004B3815" w:rsidRPr="000E28DC" w:rsidTr="00EC5E48">
        <w:trPr>
          <w:trHeight w:hRule="exact" w:val="1440"/>
        </w:trPr>
        <w:tc>
          <w:tcPr>
            <w:tcW w:w="9630" w:type="dxa"/>
            <w:gridSpan w:val="7"/>
            <w:tcBorders>
              <w:bottom w:val="single" w:sz="4" w:space="0" w:color="auto"/>
            </w:tcBorders>
          </w:tcPr>
          <w:p w:rsidR="004B3815" w:rsidRPr="00A331EC" w:rsidRDefault="004B3815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Additional file 5</w:t>
            </w:r>
            <w:r w:rsidRPr="002077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>:</w:t>
            </w:r>
            <w:r w:rsidRPr="002077F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077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US"/>
              </w:rPr>
              <w:t xml:space="preserve">In-hospital mortality, </w:t>
            </w:r>
            <w:r w:rsidRPr="00365895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logistic regression model </w:t>
            </w:r>
            <w:r w:rsidR="00AD5CAA">
              <w:rPr>
                <w:rFonts w:ascii="Arial" w:hAnsi="Arial" w:cs="Arial"/>
                <w:sz w:val="20"/>
                <w:szCs w:val="20"/>
                <w:lang w:val="en-US"/>
              </w:rPr>
              <w:t>of acutely admitted medical patients in the Emergency Department (ED) bed-section, Copenhagen University Hospital Hvidovre, within two 7-month periods: one prior to and one after the organi</w:t>
            </w:r>
            <w:r w:rsidR="00DB538E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AD5CAA">
              <w:rPr>
                <w:rFonts w:ascii="Arial" w:hAnsi="Arial" w:cs="Arial"/>
                <w:sz w:val="20"/>
                <w:szCs w:val="20"/>
                <w:lang w:val="en-US"/>
              </w:rPr>
              <w:t>ational intervention and</w:t>
            </w:r>
            <w:r w:rsidR="00DB538E">
              <w:rPr>
                <w:rFonts w:ascii="Arial" w:hAnsi="Arial" w:cs="Arial"/>
                <w:sz w:val="20"/>
                <w:szCs w:val="20"/>
                <w:lang w:val="en-US"/>
              </w:rPr>
              <w:t xml:space="preserve"> the</w:t>
            </w:r>
            <w:r w:rsidR="00AD5CAA">
              <w:rPr>
                <w:rFonts w:ascii="Arial" w:hAnsi="Arial" w:cs="Arial"/>
                <w:sz w:val="20"/>
                <w:szCs w:val="20"/>
                <w:lang w:val="en-US"/>
              </w:rPr>
              <w:t xml:space="preserve"> employment of Acute Medical Consultants in the ED</w:t>
            </w:r>
            <w:r w:rsidRPr="002077F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, adjusted for age, sex, </w:t>
            </w:r>
            <w:proofErr w:type="spellStart"/>
            <w:r w:rsidRPr="002077F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Charlson</w:t>
            </w:r>
            <w:proofErr w:type="spellEnd"/>
            <w:r w:rsidRPr="002077F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Comorbidity Index, education level</w:t>
            </w:r>
            <w:r w:rsidR="00DB538E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attained</w:t>
            </w:r>
            <w:r w:rsidR="000A04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</w:t>
            </w:r>
            <w:r w:rsidRPr="002077F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and employment status</w:t>
            </w:r>
            <w:r w:rsidRPr="002077FA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 xml:space="preserve"> n</w:t>
            </w:r>
            <w:r w:rsidRPr="002077F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=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  <w:r w:rsidR="000A04AD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869</w:t>
            </w:r>
          </w:p>
          <w:p w:rsidR="004B3815" w:rsidRPr="00A331EC" w:rsidRDefault="004B3815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  <w:p w:rsidR="004B3815" w:rsidRPr="00A331EC" w:rsidRDefault="004B3815" w:rsidP="00DE0505">
            <w:pPr>
              <w:spacing w:before="0" w:line="276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4B3815" w:rsidRPr="000E28DC" w:rsidTr="00DE0505">
        <w:trPr>
          <w:trHeight w:hRule="exact" w:val="353"/>
        </w:trPr>
        <w:tc>
          <w:tcPr>
            <w:tcW w:w="4140" w:type="dxa"/>
            <w:tcBorders>
              <w:top w:val="single" w:sz="4" w:space="0" w:color="auto"/>
            </w:tcBorders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After the organi</w:t>
            </w:r>
            <w:r w:rsidR="00DB538E"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ational intervention vs. before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HR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95% CI</w:t>
            </w:r>
          </w:p>
        </w:tc>
        <w:tc>
          <w:tcPr>
            <w:tcW w:w="270" w:type="dxa"/>
            <w:tcBorders>
              <w:top w:val="single" w:sz="4" w:space="0" w:color="auto"/>
            </w:tcBorders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p</w:t>
            </w:r>
          </w:p>
        </w:tc>
        <w:tc>
          <w:tcPr>
            <w:tcW w:w="1530" w:type="dxa"/>
            <w:gridSpan w:val="2"/>
            <w:vMerge w:val="restart"/>
            <w:vAlign w:val="center"/>
          </w:tcPr>
          <w:p w:rsidR="004B3815" w:rsidRPr="002077FA" w:rsidRDefault="000E28DC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 of overall test for association</w:t>
            </w:r>
            <w:bookmarkStart w:id="0" w:name="_GoBack"/>
            <w:bookmarkEnd w:id="0"/>
          </w:p>
        </w:tc>
      </w:tr>
      <w:tr w:rsidR="004B3815" w:rsidRPr="000E28DC" w:rsidTr="00DE0505">
        <w:trPr>
          <w:trHeight w:hRule="exact" w:val="258"/>
        </w:trPr>
        <w:tc>
          <w:tcPr>
            <w:tcW w:w="41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  <w:vMerge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All patients</w:t>
            </w:r>
          </w:p>
        </w:tc>
        <w:tc>
          <w:tcPr>
            <w:tcW w:w="14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1.05</w:t>
            </w:r>
          </w:p>
        </w:tc>
        <w:tc>
          <w:tcPr>
            <w:tcW w:w="14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0.7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 </w:t>
            </w: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1.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48</w:t>
            </w:r>
          </w:p>
        </w:tc>
        <w:tc>
          <w:tcPr>
            <w:tcW w:w="27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0.80</w:t>
            </w:r>
          </w:p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</w:t>
            </w:r>
          </w:p>
        </w:tc>
        <w:tc>
          <w:tcPr>
            <w:tcW w:w="27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vAlign w:val="center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Sex</w:t>
            </w:r>
          </w:p>
        </w:tc>
        <w:tc>
          <w:tcPr>
            <w:tcW w:w="144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Male</w:t>
            </w:r>
          </w:p>
        </w:tc>
        <w:tc>
          <w:tcPr>
            <w:tcW w:w="1440" w:type="dxa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440" w:type="dxa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Female </w:t>
            </w:r>
          </w:p>
        </w:tc>
        <w:tc>
          <w:tcPr>
            <w:tcW w:w="1440" w:type="dxa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0.71</w:t>
            </w:r>
          </w:p>
        </w:tc>
        <w:tc>
          <w:tcPr>
            <w:tcW w:w="1440" w:type="dxa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0.50 – 1.00</w:t>
            </w: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  <w:vAlign w:val="bottom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0.05</w:t>
            </w: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Age 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1.08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1.06 – 1.09</w:t>
            </w: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&lt;.001</w:t>
            </w: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Employment status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0.59</w:t>
            </w: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 Employed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 Unemployed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0.48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0.06 – 3.56</w:t>
            </w: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0.43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 Outside the labo</w:t>
            </w:r>
            <w:r w:rsidR="00DB538E">
              <w:rPr>
                <w:rFonts w:ascii="Arial" w:hAnsi="Arial" w:cs="Arial"/>
                <w:sz w:val="18"/>
                <w:szCs w:val="18"/>
                <w:lang w:val="en-US"/>
              </w:rPr>
              <w:t>u</w:t>
            </w: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r market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1.13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0.78 – 1.63</w:t>
            </w: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0.35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Highest attained education  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0.24</w:t>
            </w: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Short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.83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0.50 – 1.40</w:t>
            </w: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0.18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Middle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1.15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0.69 – 1.91</w:t>
            </w: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0.21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Long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13CBE">
              <w:rPr>
                <w:rFonts w:ascii="Arial" w:hAnsi="Arial" w:cs="Arial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44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113CBE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Charlson</w:t>
            </w:r>
            <w:proofErr w:type="spellEnd"/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Comorbidity Index 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gridSpan w:val="2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&lt;.001</w:t>
            </w: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Ref.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1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1.39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0.81 – 2.38</w:t>
            </w:r>
          </w:p>
        </w:tc>
        <w:tc>
          <w:tcPr>
            <w:tcW w:w="27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0.90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2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1.12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0.66 – 1.89</w:t>
            </w:r>
          </w:p>
        </w:tc>
        <w:tc>
          <w:tcPr>
            <w:tcW w:w="27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0.18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 xml:space="preserve"> 3+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2.62</w:t>
            </w:r>
          </w:p>
        </w:tc>
        <w:tc>
          <w:tcPr>
            <w:tcW w:w="144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1.71 – 4.02</w:t>
            </w:r>
          </w:p>
        </w:tc>
        <w:tc>
          <w:tcPr>
            <w:tcW w:w="27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77FA">
              <w:rPr>
                <w:rFonts w:ascii="Arial" w:hAnsi="Arial" w:cs="Arial"/>
                <w:sz w:val="18"/>
                <w:szCs w:val="18"/>
                <w:lang w:val="en-US"/>
              </w:rPr>
              <w:t>&lt;.001</w:t>
            </w:r>
          </w:p>
        </w:tc>
        <w:tc>
          <w:tcPr>
            <w:tcW w:w="939" w:type="dxa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591" w:type="dxa"/>
            <w:vAlign w:val="bottom"/>
          </w:tcPr>
          <w:p w:rsidR="004B3815" w:rsidRPr="002077FA" w:rsidRDefault="004B3815" w:rsidP="00DE0505">
            <w:pPr>
              <w:spacing w:before="0"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4B3815" w:rsidRPr="00CA4F1C" w:rsidTr="00DE0505">
        <w:trPr>
          <w:trHeight w:hRule="exact" w:val="258"/>
        </w:trPr>
        <w:tc>
          <w:tcPr>
            <w:tcW w:w="4140" w:type="dxa"/>
            <w:tcBorders>
              <w:bottom w:val="single" w:sz="4" w:space="0" w:color="auto"/>
            </w:tcBorders>
            <w:vAlign w:val="center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b/>
                <w:sz w:val="16"/>
                <w:szCs w:val="18"/>
                <w:lang w:val="en-US"/>
              </w:rPr>
            </w:pPr>
          </w:p>
        </w:tc>
        <w:tc>
          <w:tcPr>
            <w:tcW w:w="939" w:type="dxa"/>
            <w:tcBorders>
              <w:left w:val="nil"/>
              <w:bottom w:val="single" w:sz="4" w:space="0" w:color="auto"/>
            </w:tcBorders>
            <w:vAlign w:val="bottom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  <w:tc>
          <w:tcPr>
            <w:tcW w:w="591" w:type="dxa"/>
            <w:tcBorders>
              <w:bottom w:val="single" w:sz="4" w:space="0" w:color="auto"/>
            </w:tcBorders>
            <w:vAlign w:val="bottom"/>
          </w:tcPr>
          <w:p w:rsidR="004B3815" w:rsidRPr="00CA4F1C" w:rsidRDefault="004B3815" w:rsidP="00DE0505">
            <w:pPr>
              <w:spacing w:before="0" w:line="276" w:lineRule="auto"/>
              <w:rPr>
                <w:rFonts w:ascii="Arial" w:hAnsi="Arial" w:cs="Arial"/>
                <w:sz w:val="16"/>
                <w:szCs w:val="18"/>
                <w:lang w:val="en-US"/>
              </w:rPr>
            </w:pPr>
          </w:p>
        </w:tc>
      </w:tr>
    </w:tbl>
    <w:p w:rsidR="0033529E" w:rsidRDefault="0033529E"/>
    <w:sectPr w:rsidR="0033529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815"/>
    <w:rsid w:val="000A04AD"/>
    <w:rsid w:val="000E28DC"/>
    <w:rsid w:val="0033529E"/>
    <w:rsid w:val="004B3815"/>
    <w:rsid w:val="00820CA3"/>
    <w:rsid w:val="00912D6E"/>
    <w:rsid w:val="00AD5CAA"/>
    <w:rsid w:val="00C54807"/>
    <w:rsid w:val="00DB538E"/>
    <w:rsid w:val="00E36B04"/>
    <w:rsid w:val="00EC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C9A03-4A4E-469F-9914-2FFB33B1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3815"/>
    <w:pPr>
      <w:spacing w:before="240" w:after="200" w:line="360" w:lineRule="auto"/>
    </w:pPr>
    <w:rPr>
      <w:rFonts w:ascii="Times New Roman" w:hAnsi="Times New Roman"/>
      <w:sz w:val="24"/>
      <w:szCs w:val="23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4B3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987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Bendtz Lindstrøm</dc:creator>
  <cp:keywords/>
  <dc:description/>
  <cp:lastModifiedBy>Mette Bendtz Lindstrøm</cp:lastModifiedBy>
  <cp:revision>4</cp:revision>
  <dcterms:created xsi:type="dcterms:W3CDTF">2019-11-25T13:17:00Z</dcterms:created>
  <dcterms:modified xsi:type="dcterms:W3CDTF">2019-11-25T13:22:00Z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